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B4208A" w:rsidRDefault="00E7773B">
      <w:pPr>
        <w:pBdr>
          <w:top w:val="nil"/>
          <w:left w:val="nil"/>
          <w:bottom w:val="nil"/>
          <w:right w:val="nil"/>
          <w:between w:val="nil"/>
        </w:pBdr>
        <w:jc w:val="center"/>
        <w:rPr>
          <w:b/>
          <w:color w:val="222222"/>
          <w:sz w:val="22"/>
          <w:szCs w:val="22"/>
          <w:highlight w:val="white"/>
        </w:rPr>
      </w:pPr>
      <w:bookmarkStart w:id="0" w:name="_GoBack"/>
      <w:bookmarkEnd w:id="0"/>
      <w:r>
        <w:rPr>
          <w:b/>
          <w:color w:val="222222"/>
          <w:sz w:val="22"/>
          <w:szCs w:val="22"/>
          <w:highlight w:val="white"/>
        </w:rPr>
        <w:t>A resolution urging CalSTRS to divest from publicly-traded fossil fuel companies.</w:t>
      </w:r>
    </w:p>
    <w:p w14:paraId="00000002" w14:textId="77777777" w:rsidR="00B4208A" w:rsidRPr="00BA0CCA" w:rsidRDefault="00B4208A">
      <w:pPr>
        <w:pBdr>
          <w:top w:val="nil"/>
          <w:left w:val="nil"/>
          <w:bottom w:val="nil"/>
          <w:right w:val="nil"/>
          <w:between w:val="nil"/>
        </w:pBdr>
        <w:jc w:val="center"/>
        <w:rPr>
          <w:b/>
          <w:color w:val="222222"/>
          <w:highlight w:val="white"/>
        </w:rPr>
      </w:pPr>
    </w:p>
    <w:p w14:paraId="00000003" w14:textId="77777777" w:rsidR="00B4208A" w:rsidRPr="00BA0CCA" w:rsidRDefault="00E7773B">
      <w:pPr>
        <w:pBdr>
          <w:top w:val="nil"/>
          <w:left w:val="nil"/>
          <w:bottom w:val="nil"/>
          <w:right w:val="nil"/>
          <w:between w:val="nil"/>
        </w:pBdr>
      </w:pPr>
      <w:r w:rsidRPr="00BA0CCA">
        <w:rPr>
          <w:highlight w:val="white"/>
        </w:rPr>
        <w:t>WHEREAS</w:t>
      </w:r>
      <w:r w:rsidRPr="00BA0CCA">
        <w:rPr>
          <w:color w:val="4A86E8"/>
        </w:rPr>
        <w:t xml:space="preserve"> </w:t>
      </w:r>
      <w:r w:rsidRPr="00BA0CCA">
        <w:t xml:space="preserve">global temperature rise must be limited to 1.5˚C in order to avoid exacerbating a chain of events culminating in mass extinction and intense human suffering; </w:t>
      </w:r>
    </w:p>
    <w:p w14:paraId="46EDDFEB" w14:textId="77777777" w:rsidR="00BA0CCA" w:rsidRPr="00BA0CCA" w:rsidRDefault="00BA0CCA" w:rsidP="00BA0CCA"/>
    <w:p w14:paraId="00000004" w14:textId="77777777" w:rsidR="00B4208A" w:rsidRPr="00BA0CCA" w:rsidRDefault="00E7773B" w:rsidP="00BA0CCA">
      <w:r w:rsidRPr="00BA0CCA">
        <w:t xml:space="preserve">WHEREAS the IPCC Special  Report on 1.5 degrees C states that in order to stay close to the goal of 1.5˚C, the rate of global human-caused emissions must decline by about 45% from 2010 levels by 2030, and reach net zero by about 2050; </w:t>
      </w:r>
    </w:p>
    <w:p w14:paraId="4D10B1F2" w14:textId="77777777" w:rsidR="00BA0CCA" w:rsidRPr="00BA0CCA" w:rsidRDefault="00BA0CCA">
      <w:pPr>
        <w:pBdr>
          <w:top w:val="nil"/>
          <w:left w:val="nil"/>
          <w:bottom w:val="nil"/>
          <w:right w:val="nil"/>
          <w:between w:val="nil"/>
        </w:pBdr>
      </w:pPr>
    </w:p>
    <w:p w14:paraId="00000005" w14:textId="2EB41184" w:rsidR="00B4208A" w:rsidRPr="00BA0CCA" w:rsidRDefault="00E7773B">
      <w:pPr>
        <w:pBdr>
          <w:top w:val="nil"/>
          <w:left w:val="nil"/>
          <w:bottom w:val="nil"/>
          <w:right w:val="nil"/>
          <w:between w:val="nil"/>
        </w:pBdr>
      </w:pPr>
      <w:r w:rsidRPr="00BA0CCA">
        <w:t>WHEREAS worldwide over 25 million people have already been displaced as a result of the climate crisis;</w:t>
      </w:r>
      <w:r w:rsidRPr="00BA0CCA">
        <w:rPr>
          <w:vertAlign w:val="superscript"/>
        </w:rPr>
        <w:footnoteReference w:id="1"/>
      </w:r>
      <w:r w:rsidRPr="00BA0CCA">
        <w:t xml:space="preserve"> </w:t>
      </w:r>
    </w:p>
    <w:p w14:paraId="2942895B" w14:textId="77777777" w:rsidR="00BA0CCA" w:rsidRPr="00BA0CCA" w:rsidRDefault="00BA0CCA">
      <w:pPr>
        <w:pBdr>
          <w:top w:val="nil"/>
          <w:left w:val="nil"/>
          <w:bottom w:val="nil"/>
          <w:right w:val="nil"/>
          <w:between w:val="nil"/>
        </w:pBdr>
        <w:rPr>
          <w:highlight w:val="white"/>
        </w:rPr>
      </w:pPr>
    </w:p>
    <w:p w14:paraId="00000006" w14:textId="14876536" w:rsidR="00B4208A" w:rsidRPr="00BA0CCA" w:rsidRDefault="00E7773B">
      <w:pPr>
        <w:pBdr>
          <w:top w:val="nil"/>
          <w:left w:val="nil"/>
          <w:bottom w:val="nil"/>
          <w:right w:val="nil"/>
          <w:between w:val="nil"/>
        </w:pBdr>
      </w:pPr>
      <w:r w:rsidRPr="00BA0CCA">
        <w:rPr>
          <w:highlight w:val="white"/>
        </w:rPr>
        <w:t>WHEREAS climate related crises disproportionately impact communities of color and low income communities due to inequity in systems of power and lack of access to means and resources for prevention and relief;</w:t>
      </w:r>
    </w:p>
    <w:p w14:paraId="1D3CEA5E" w14:textId="77777777" w:rsidR="00BA0CCA" w:rsidRPr="00BA0CCA" w:rsidRDefault="00BA0CCA">
      <w:pPr>
        <w:pBdr>
          <w:top w:val="nil"/>
          <w:left w:val="nil"/>
          <w:bottom w:val="nil"/>
          <w:right w:val="nil"/>
          <w:between w:val="nil"/>
        </w:pBdr>
      </w:pPr>
    </w:p>
    <w:p w14:paraId="00000007" w14:textId="789C3F7F" w:rsidR="00B4208A" w:rsidRPr="00BA0CCA" w:rsidRDefault="00E7773B">
      <w:pPr>
        <w:pBdr>
          <w:top w:val="nil"/>
          <w:left w:val="nil"/>
          <w:bottom w:val="nil"/>
          <w:right w:val="nil"/>
          <w:between w:val="nil"/>
        </w:pBdr>
      </w:pPr>
      <w:r w:rsidRPr="00BA0CCA">
        <w:t>WHEREAS air pollution from burning fossil fuels is a risk factor for developmental delays in children, causing them to learn more slowly and struggle to cope with stress. Exposure can lower a child’s IQ and cause ADHD;</w:t>
      </w:r>
    </w:p>
    <w:p w14:paraId="73C3EE58" w14:textId="77777777" w:rsidR="00BA0CCA" w:rsidRPr="00BA0CCA" w:rsidRDefault="00BA0CCA">
      <w:pPr>
        <w:spacing w:line="276" w:lineRule="auto"/>
      </w:pPr>
    </w:p>
    <w:p w14:paraId="00000008" w14:textId="44F7DC1C" w:rsidR="00B4208A" w:rsidRPr="00BA0CCA" w:rsidRDefault="00E7773B">
      <w:pPr>
        <w:spacing w:line="276" w:lineRule="auto"/>
      </w:pPr>
      <w:r w:rsidRPr="00BA0CCA">
        <w:t>WHEREAS the Climate Psychiatry Alliance states that climate inaction from institutions, teachers, and parents "has multiple traumatic effects on children including demoralization, development of hopelessness and defiance, and experiences of neglect and abuse that are associated with poor long term educational and emotional outcome;"</w:t>
      </w:r>
      <w:r w:rsidRPr="00BA0CCA">
        <w:rPr>
          <w:vertAlign w:val="superscript"/>
        </w:rPr>
        <w:footnoteReference w:id="2"/>
      </w:r>
    </w:p>
    <w:p w14:paraId="708E2268" w14:textId="77777777" w:rsidR="00BA0CCA" w:rsidRPr="00BA0CCA" w:rsidRDefault="00BA0CCA">
      <w:pPr>
        <w:pBdr>
          <w:top w:val="nil"/>
          <w:left w:val="nil"/>
          <w:bottom w:val="nil"/>
          <w:right w:val="nil"/>
          <w:between w:val="nil"/>
        </w:pBdr>
      </w:pPr>
    </w:p>
    <w:p w14:paraId="00000009" w14:textId="3E9B8D72" w:rsidR="00B4208A" w:rsidRPr="00BA0CCA" w:rsidRDefault="00E7773B">
      <w:pPr>
        <w:pBdr>
          <w:top w:val="nil"/>
          <w:left w:val="nil"/>
          <w:bottom w:val="nil"/>
          <w:right w:val="nil"/>
          <w:between w:val="nil"/>
        </w:pBdr>
        <w:rPr>
          <w:highlight w:val="white"/>
        </w:rPr>
      </w:pPr>
      <w:r w:rsidRPr="00BA0CCA">
        <w:t>WHEREAS t</w:t>
      </w:r>
      <w:r w:rsidRPr="00BA0CCA">
        <w:rPr>
          <w:highlight w:val="white"/>
        </w:rPr>
        <w:t>o keep global warming to 1.5˚C, more than 85% of known carbon reserves must be kept in the ground. This means that fossil fuels stocks are overvalued by at least $20 trillion;</w:t>
      </w:r>
      <w:r w:rsidRPr="00BA0CCA">
        <w:rPr>
          <w:color w:val="222222"/>
          <w:highlight w:val="white"/>
          <w:vertAlign w:val="superscript"/>
        </w:rPr>
        <w:footnoteReference w:id="3"/>
      </w:r>
    </w:p>
    <w:p w14:paraId="5D34E170" w14:textId="77777777" w:rsidR="00BA0CCA" w:rsidRPr="00BA0CCA" w:rsidRDefault="00BA0CCA">
      <w:pPr>
        <w:pBdr>
          <w:top w:val="nil"/>
          <w:left w:val="nil"/>
          <w:bottom w:val="nil"/>
          <w:right w:val="nil"/>
          <w:between w:val="nil"/>
        </w:pBdr>
      </w:pPr>
    </w:p>
    <w:p w14:paraId="0000000A" w14:textId="17CAE160" w:rsidR="00B4208A" w:rsidRPr="00BA0CCA" w:rsidRDefault="00E7773B">
      <w:pPr>
        <w:pBdr>
          <w:top w:val="nil"/>
          <w:left w:val="nil"/>
          <w:bottom w:val="nil"/>
          <w:right w:val="nil"/>
          <w:between w:val="nil"/>
        </w:pBdr>
      </w:pPr>
      <w:r w:rsidRPr="00BA0CCA">
        <w:t>WHEREAS CalSTRS would have earned $5.5 billion more in profit had they divested from fossil fuels ten years ago.</w:t>
      </w:r>
      <w:r w:rsidRPr="00BA0CCA">
        <w:rPr>
          <w:vertAlign w:val="superscript"/>
        </w:rPr>
        <w:footnoteReference w:id="4"/>
      </w:r>
      <w:r w:rsidRPr="00BA0CCA">
        <w:t xml:space="preserve"> Financial experts acknowledge that this is a trend that is likely to only get worse;</w:t>
      </w:r>
      <w:r w:rsidRPr="00BA0CCA">
        <w:rPr>
          <w:vertAlign w:val="superscript"/>
        </w:rPr>
        <w:footnoteReference w:id="5"/>
      </w:r>
      <w:r w:rsidRPr="00BA0CCA">
        <w:t xml:space="preserve"> </w:t>
      </w:r>
    </w:p>
    <w:p w14:paraId="7233B3FB" w14:textId="77777777" w:rsidR="00BA0CCA" w:rsidRPr="00BA0CCA" w:rsidRDefault="00BA0CCA">
      <w:pPr>
        <w:pBdr>
          <w:top w:val="nil"/>
          <w:left w:val="nil"/>
          <w:bottom w:val="nil"/>
          <w:right w:val="nil"/>
          <w:between w:val="nil"/>
        </w:pBdr>
      </w:pPr>
    </w:p>
    <w:p w14:paraId="0000000B" w14:textId="50B95D0E" w:rsidR="00B4208A" w:rsidRPr="00BA0CCA" w:rsidRDefault="00E7773B">
      <w:pPr>
        <w:pBdr>
          <w:top w:val="nil"/>
          <w:left w:val="nil"/>
          <w:bottom w:val="nil"/>
          <w:right w:val="nil"/>
          <w:between w:val="nil"/>
        </w:pBdr>
      </w:pPr>
      <w:r w:rsidRPr="00BA0CCA">
        <w:t>WHEREAS the University of California divested its $83B portfolio from fossil fuels for financial reasons, joining the $14+T divestment movement;</w:t>
      </w:r>
    </w:p>
    <w:p w14:paraId="5FDC3A8B" w14:textId="77777777" w:rsidR="00BA0CCA" w:rsidRPr="00BA0CCA" w:rsidRDefault="00BA0CCA">
      <w:pPr>
        <w:pBdr>
          <w:top w:val="nil"/>
          <w:left w:val="nil"/>
          <w:bottom w:val="nil"/>
          <w:right w:val="nil"/>
          <w:between w:val="nil"/>
        </w:pBdr>
      </w:pPr>
    </w:p>
    <w:p w14:paraId="0000000C" w14:textId="448C927A" w:rsidR="00B4208A" w:rsidRPr="00BA0CCA" w:rsidRDefault="00E7773B">
      <w:pPr>
        <w:pBdr>
          <w:top w:val="nil"/>
          <w:left w:val="nil"/>
          <w:bottom w:val="nil"/>
          <w:right w:val="nil"/>
          <w:between w:val="nil"/>
        </w:pBdr>
      </w:pPr>
      <w:r w:rsidRPr="00BA0CCA">
        <w:t>WHEREAS fossil fuel investments have met all three criteria of the CalSTRS Divestment Policy;</w:t>
      </w:r>
    </w:p>
    <w:p w14:paraId="0000000D" w14:textId="77777777" w:rsidR="00B4208A" w:rsidRDefault="00B4208A">
      <w:pPr>
        <w:pBdr>
          <w:top w:val="nil"/>
          <w:left w:val="nil"/>
          <w:bottom w:val="nil"/>
          <w:right w:val="nil"/>
          <w:between w:val="nil"/>
        </w:pBdr>
      </w:pPr>
    </w:p>
    <w:p w14:paraId="0000000E" w14:textId="77777777" w:rsidR="00B4208A" w:rsidRDefault="00E7773B">
      <w:pPr>
        <w:pBdr>
          <w:top w:val="nil"/>
          <w:left w:val="nil"/>
          <w:bottom w:val="nil"/>
          <w:right w:val="nil"/>
          <w:between w:val="nil"/>
        </w:pBdr>
        <w:rPr>
          <w:b/>
          <w:highlight w:val="white"/>
        </w:rPr>
      </w:pPr>
      <w:r>
        <w:rPr>
          <w:b/>
          <w:highlight w:val="white"/>
        </w:rPr>
        <w:t xml:space="preserve">THEREFORE, BE IT RESOLVED, THAT THE_________________ CHAPTER OF CTA STRONGLY URGES CalSTRS TO: </w:t>
      </w:r>
    </w:p>
    <w:p w14:paraId="0000000F" w14:textId="77777777" w:rsidR="00B4208A" w:rsidRDefault="00B4208A">
      <w:pPr>
        <w:pBdr>
          <w:top w:val="nil"/>
          <w:left w:val="nil"/>
          <w:bottom w:val="nil"/>
          <w:right w:val="nil"/>
          <w:between w:val="nil"/>
        </w:pBdr>
        <w:rPr>
          <w:b/>
          <w:highlight w:val="white"/>
        </w:rPr>
      </w:pPr>
    </w:p>
    <w:p w14:paraId="00000010" w14:textId="77777777" w:rsidR="00B4208A" w:rsidRDefault="00E7773B">
      <w:pPr>
        <w:numPr>
          <w:ilvl w:val="0"/>
          <w:numId w:val="2"/>
        </w:numPr>
        <w:pBdr>
          <w:top w:val="nil"/>
          <w:left w:val="nil"/>
          <w:bottom w:val="nil"/>
          <w:right w:val="nil"/>
          <w:between w:val="nil"/>
        </w:pBdr>
        <w:rPr>
          <w:highlight w:val="white"/>
        </w:rPr>
      </w:pPr>
      <w:bookmarkStart w:id="1" w:name="_z05zq57zaayj" w:colFirst="0" w:colLast="0"/>
      <w:bookmarkEnd w:id="1"/>
      <w:r>
        <w:rPr>
          <w:highlight w:val="white"/>
        </w:rPr>
        <w:t>Immediately instruct asset managers to stop any new investment in fossil fuel companies;</w:t>
      </w:r>
    </w:p>
    <w:p w14:paraId="00000011" w14:textId="77777777" w:rsidR="00B4208A" w:rsidRDefault="00E7773B">
      <w:pPr>
        <w:numPr>
          <w:ilvl w:val="0"/>
          <w:numId w:val="2"/>
        </w:numPr>
        <w:pBdr>
          <w:top w:val="nil"/>
          <w:left w:val="nil"/>
          <w:bottom w:val="nil"/>
          <w:right w:val="nil"/>
          <w:between w:val="nil"/>
        </w:pBdr>
        <w:rPr>
          <w:highlight w:val="white"/>
        </w:rPr>
      </w:pPr>
      <w:bookmarkStart w:id="2" w:name="_v7wo4y6yq9gb" w:colFirst="0" w:colLast="0"/>
      <w:bookmarkEnd w:id="2"/>
      <w:r>
        <w:rPr>
          <w:highlight w:val="white"/>
        </w:rPr>
        <w:t>Ensure none of its directly held or commingled assets include holdings in fossil fuel public equities or corporate bonds, beginning immediately.</w:t>
      </w:r>
    </w:p>
    <w:p w14:paraId="6CEC814C" w14:textId="77777777" w:rsidR="00BA0CCA" w:rsidRDefault="00BA0CCA" w:rsidP="00BA0CCA">
      <w:pPr>
        <w:pBdr>
          <w:top w:val="nil"/>
          <w:left w:val="nil"/>
          <w:bottom w:val="nil"/>
          <w:right w:val="nil"/>
          <w:between w:val="nil"/>
        </w:pBdr>
        <w:ind w:left="720"/>
        <w:rPr>
          <w:highlight w:val="white"/>
        </w:rPr>
      </w:pPr>
    </w:p>
    <w:p w14:paraId="48292084" w14:textId="77777777" w:rsidR="00BA0CCA" w:rsidRDefault="00BA0CCA" w:rsidP="00BA0CCA">
      <w:pPr>
        <w:pBdr>
          <w:top w:val="nil"/>
          <w:left w:val="nil"/>
          <w:bottom w:val="nil"/>
          <w:right w:val="nil"/>
          <w:between w:val="nil"/>
        </w:pBdr>
        <w:ind w:left="720"/>
        <w:rPr>
          <w:highlight w:val="white"/>
        </w:rPr>
      </w:pPr>
    </w:p>
    <w:p w14:paraId="00000012" w14:textId="77777777" w:rsidR="00B4208A" w:rsidRDefault="00E7773B">
      <w:pPr>
        <w:pBdr>
          <w:top w:val="nil"/>
          <w:left w:val="nil"/>
          <w:bottom w:val="nil"/>
          <w:right w:val="nil"/>
          <w:between w:val="nil"/>
        </w:pBdr>
        <w:rPr>
          <w:color w:val="222222"/>
          <w:highlight w:val="white"/>
        </w:rPr>
      </w:pPr>
      <w:bookmarkStart w:id="3" w:name="_cghql6oevt87" w:colFirst="0" w:colLast="0"/>
      <w:bookmarkEnd w:id="3"/>
      <w:r>
        <w:rPr>
          <w:color w:val="222222"/>
          <w:highlight w:val="white"/>
        </w:rPr>
        <w:t xml:space="preserve">Name____________________________________/Date_______________________________, President  </w:t>
      </w:r>
    </w:p>
    <w:p w14:paraId="586C51FA" w14:textId="77777777" w:rsidR="00D1491A" w:rsidRDefault="00E7773B">
      <w:pPr>
        <w:pBdr>
          <w:top w:val="nil"/>
          <w:left w:val="nil"/>
          <w:bottom w:val="nil"/>
          <w:right w:val="nil"/>
          <w:between w:val="nil"/>
        </w:pBdr>
        <w:rPr>
          <w:color w:val="222222"/>
          <w:highlight w:val="white"/>
        </w:rPr>
      </w:pPr>
      <w:r>
        <w:rPr>
          <w:color w:val="222222"/>
          <w:highlight w:val="white"/>
        </w:rPr>
        <w:t xml:space="preserve">Name ____________________________________/Date______________________________, </w:t>
      </w:r>
    </w:p>
    <w:p w14:paraId="00000013" w14:textId="4E91C17B" w:rsidR="00B4208A" w:rsidRDefault="00E7773B">
      <w:pPr>
        <w:pBdr>
          <w:top w:val="nil"/>
          <w:left w:val="nil"/>
          <w:bottom w:val="nil"/>
          <w:right w:val="nil"/>
          <w:between w:val="nil"/>
        </w:pBdr>
        <w:rPr>
          <w:color w:val="222222"/>
          <w:highlight w:val="white"/>
        </w:rPr>
      </w:pPr>
      <w:r>
        <w:rPr>
          <w:color w:val="222222"/>
          <w:highlight w:val="white"/>
        </w:rPr>
        <w:t>Vice-President</w:t>
      </w:r>
    </w:p>
    <w:p w14:paraId="00000014" w14:textId="77777777" w:rsidR="00B4208A" w:rsidRDefault="00E7773B">
      <w:pPr>
        <w:pBdr>
          <w:top w:val="nil"/>
          <w:left w:val="nil"/>
          <w:bottom w:val="nil"/>
          <w:right w:val="nil"/>
          <w:between w:val="nil"/>
        </w:pBdr>
        <w:rPr>
          <w:color w:val="222222"/>
          <w:highlight w:val="white"/>
        </w:rPr>
      </w:pPr>
      <w:r>
        <w:rPr>
          <w:color w:val="222222"/>
          <w:highlight w:val="white"/>
        </w:rPr>
        <w:t>Name ____________________________________/Date______________________________, Secretary</w:t>
      </w:r>
    </w:p>
    <w:p w14:paraId="24911557" w14:textId="77777777" w:rsidR="00BA0CCA" w:rsidRDefault="00BA0CCA">
      <w:pPr>
        <w:pBdr>
          <w:top w:val="nil"/>
          <w:left w:val="nil"/>
          <w:bottom w:val="nil"/>
          <w:right w:val="nil"/>
          <w:between w:val="nil"/>
        </w:pBdr>
        <w:rPr>
          <w:color w:val="222222"/>
          <w:highlight w:val="white"/>
        </w:rPr>
      </w:pPr>
    </w:p>
    <w:p w14:paraId="00000015" w14:textId="77777777" w:rsidR="00B4208A" w:rsidRDefault="00E7773B">
      <w:pPr>
        <w:pBdr>
          <w:top w:val="nil"/>
          <w:left w:val="nil"/>
          <w:bottom w:val="nil"/>
          <w:right w:val="nil"/>
          <w:between w:val="nil"/>
        </w:pBdr>
        <w:rPr>
          <w:b/>
          <w:i/>
          <w:color w:val="222222"/>
          <w:sz w:val="18"/>
          <w:szCs w:val="18"/>
          <w:highlight w:val="white"/>
        </w:rPr>
      </w:pPr>
      <w:r>
        <w:rPr>
          <w:b/>
          <w:i/>
          <w:color w:val="222222"/>
          <w:sz w:val="18"/>
          <w:szCs w:val="18"/>
          <w:highlight w:val="white"/>
        </w:rPr>
        <w:t xml:space="preserve">Please send copies of approved resolution to: </w:t>
      </w:r>
    </w:p>
    <w:p w14:paraId="00000016" w14:textId="77777777" w:rsidR="00B4208A" w:rsidRDefault="00E7773B">
      <w:pPr>
        <w:numPr>
          <w:ilvl w:val="0"/>
          <w:numId w:val="1"/>
        </w:numPr>
        <w:pBdr>
          <w:top w:val="nil"/>
          <w:left w:val="nil"/>
          <w:bottom w:val="nil"/>
          <w:right w:val="nil"/>
          <w:between w:val="nil"/>
        </w:pBdr>
        <w:rPr>
          <w:b/>
          <w:i/>
          <w:color w:val="222222"/>
          <w:sz w:val="18"/>
          <w:szCs w:val="18"/>
          <w:highlight w:val="white"/>
        </w:rPr>
      </w:pPr>
      <w:r>
        <w:rPr>
          <w:b/>
          <w:i/>
          <w:color w:val="222222"/>
          <w:sz w:val="18"/>
          <w:szCs w:val="18"/>
          <w:highlight w:val="white"/>
        </w:rPr>
        <w:t>Fossil Free California, PO Box 21022, Oakland, CA 94620 divestcalstrs@fossilfreeca.org</w:t>
      </w:r>
    </w:p>
    <w:p w14:paraId="00000017" w14:textId="77777777" w:rsidR="00B4208A" w:rsidRDefault="00E7773B">
      <w:pPr>
        <w:numPr>
          <w:ilvl w:val="0"/>
          <w:numId w:val="1"/>
        </w:numPr>
        <w:pBdr>
          <w:top w:val="nil"/>
          <w:left w:val="nil"/>
          <w:bottom w:val="nil"/>
          <w:right w:val="nil"/>
          <w:between w:val="nil"/>
        </w:pBdr>
        <w:rPr>
          <w:b/>
          <w:i/>
          <w:color w:val="222222"/>
          <w:sz w:val="18"/>
          <w:szCs w:val="18"/>
          <w:highlight w:val="white"/>
        </w:rPr>
      </w:pPr>
      <w:r>
        <w:rPr>
          <w:b/>
          <w:i/>
          <w:color w:val="222222"/>
          <w:sz w:val="18"/>
          <w:szCs w:val="18"/>
          <w:highlight w:val="white"/>
        </w:rPr>
        <w:t>CTA/NEA State Headquarters, P.O. Box 921, Burlingame, CA 94011-0921</w:t>
      </w:r>
    </w:p>
    <w:sectPr w:rsidR="00B4208A" w:rsidSect="00BA0CCA">
      <w:pgSz w:w="12240" w:h="15840"/>
      <w:pgMar w:top="864"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7B29" w14:textId="77777777" w:rsidR="00CD7C16" w:rsidRDefault="00CD7C16">
      <w:r>
        <w:separator/>
      </w:r>
    </w:p>
  </w:endnote>
  <w:endnote w:type="continuationSeparator" w:id="0">
    <w:p w14:paraId="577CDB1B" w14:textId="77777777" w:rsidR="00CD7C16" w:rsidRDefault="00CD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565A" w14:textId="77777777" w:rsidR="00CD7C16" w:rsidRDefault="00CD7C16">
      <w:r>
        <w:separator/>
      </w:r>
    </w:p>
  </w:footnote>
  <w:footnote w:type="continuationSeparator" w:id="0">
    <w:p w14:paraId="3EB3E450" w14:textId="77777777" w:rsidR="00CD7C16" w:rsidRDefault="00CD7C16">
      <w:r>
        <w:continuationSeparator/>
      </w:r>
    </w:p>
  </w:footnote>
  <w:footnote w:id="1">
    <w:p w14:paraId="00000019" w14:textId="77777777" w:rsidR="00B4208A" w:rsidRDefault="00E7773B">
      <w:pPr>
        <w:rPr>
          <w:sz w:val="16"/>
          <w:szCs w:val="16"/>
        </w:rPr>
      </w:pPr>
      <w:r>
        <w:rPr>
          <w:vertAlign w:val="superscript"/>
        </w:rPr>
        <w:footnoteRef/>
      </w:r>
      <w:r>
        <w:rPr>
          <w:sz w:val="16"/>
          <w:szCs w:val="16"/>
        </w:rPr>
        <w:t xml:space="preserve"> https://www.nnirr.org/~nnirrorg/drupal/sites/default/files/climate_change_and_migration_fact_sheet_final.pdf</w:t>
      </w:r>
    </w:p>
  </w:footnote>
  <w:footnote w:id="2">
    <w:p w14:paraId="0000001A" w14:textId="77777777" w:rsidR="00B4208A" w:rsidRDefault="00E7773B">
      <w:pPr>
        <w:rPr>
          <w:sz w:val="16"/>
          <w:szCs w:val="16"/>
        </w:rPr>
      </w:pPr>
      <w:r>
        <w:rPr>
          <w:vertAlign w:val="superscript"/>
        </w:rPr>
        <w:footnoteRef/>
      </w:r>
      <w:r>
        <w:t xml:space="preserve"> </w:t>
      </w:r>
      <w:r>
        <w:rPr>
          <w:sz w:val="16"/>
          <w:szCs w:val="16"/>
        </w:rPr>
        <w:t>https://www.climatepsychiatry.org/</w:t>
      </w:r>
    </w:p>
  </w:footnote>
  <w:footnote w:id="3">
    <w:p w14:paraId="0000001B" w14:textId="77777777" w:rsidR="00B4208A" w:rsidRDefault="00E7773B">
      <w:pPr>
        <w:rPr>
          <w:sz w:val="16"/>
          <w:szCs w:val="16"/>
        </w:rPr>
      </w:pPr>
      <w:r>
        <w:rPr>
          <w:vertAlign w:val="superscript"/>
        </w:rPr>
        <w:footnoteRef/>
      </w:r>
      <w:r>
        <w:rPr>
          <w:sz w:val="16"/>
          <w:szCs w:val="16"/>
        </w:rPr>
        <w:t xml:space="preserve"> </w:t>
      </w:r>
      <w:hyperlink r:id="rId1">
        <w:r>
          <w:rPr>
            <w:color w:val="1155CC"/>
            <w:sz w:val="16"/>
            <w:szCs w:val="16"/>
            <w:u w:val="single"/>
          </w:rPr>
          <w:t>http://europe.newsweek.com/bank-england-warns-fossil-fuel-investment-risk-311265</w:t>
        </w:r>
      </w:hyperlink>
    </w:p>
  </w:footnote>
  <w:footnote w:id="4">
    <w:p w14:paraId="00000018" w14:textId="77777777" w:rsidR="00B4208A" w:rsidRDefault="00E7773B">
      <w:pPr>
        <w:rPr>
          <w:sz w:val="16"/>
          <w:szCs w:val="16"/>
        </w:rPr>
      </w:pPr>
      <w:r>
        <w:rPr>
          <w:vertAlign w:val="superscript"/>
        </w:rPr>
        <w:footnoteRef/>
      </w:r>
      <w:r>
        <w:rPr>
          <w:sz w:val="16"/>
          <w:szCs w:val="16"/>
        </w:rPr>
        <w:t xml:space="preserve"> </w:t>
      </w:r>
      <w:hyperlink r:id="rId2">
        <w:r>
          <w:rPr>
            <w:color w:val="1155CC"/>
            <w:sz w:val="16"/>
            <w:szCs w:val="16"/>
            <w:u w:val="single"/>
          </w:rPr>
          <w:t>https://ieefa.org/ieefa-report-oil-majors-live-beyond-their-means-‒-cant-pay-for-dividends-buybacks/</w:t>
        </w:r>
      </w:hyperlink>
    </w:p>
  </w:footnote>
  <w:footnote w:id="5">
    <w:p w14:paraId="0000001C" w14:textId="77777777" w:rsidR="00B4208A" w:rsidRDefault="00E7773B">
      <w:pPr>
        <w:rPr>
          <w:sz w:val="16"/>
          <w:szCs w:val="16"/>
        </w:rPr>
      </w:pPr>
      <w:r>
        <w:rPr>
          <w:vertAlign w:val="superscript"/>
        </w:rPr>
        <w:footnoteRef/>
      </w:r>
      <w:r>
        <w:rPr>
          <w:sz w:val="16"/>
          <w:szCs w:val="16"/>
        </w:rPr>
        <w:t xml:space="preserve"> https://ieefa.org/ieefa-update-oil-and-gas-stocks-place-dead-last-in-2019-again-despite-30-price-rise/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5D7F"/>
    <w:multiLevelType w:val="multilevel"/>
    <w:tmpl w:val="51A6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CC17B4D"/>
    <w:multiLevelType w:val="multilevel"/>
    <w:tmpl w:val="0316B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8A"/>
    <w:rsid w:val="00B4208A"/>
    <w:rsid w:val="00BA0CCA"/>
    <w:rsid w:val="00CD7C16"/>
    <w:rsid w:val="00D1491A"/>
    <w:rsid w:val="00D922EB"/>
    <w:rsid w:val="00DE6DCC"/>
    <w:rsid w:val="00E7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urope.newsweek.com/bank-england-warns-fossil-fuel-investment-risk-311265" TargetMode="External"/><Relationship Id="rId2" Type="http://schemas.openxmlformats.org/officeDocument/2006/relationships/hyperlink" Target="https://ieefa.org/ieefa-report-oil-majors-live-beyond-their-means-%E2%80%92-cant-pay-for-dividends-buyb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Kaufman</dc:creator>
  <cp:lastModifiedBy>carsc</cp:lastModifiedBy>
  <cp:revision>2</cp:revision>
  <dcterms:created xsi:type="dcterms:W3CDTF">2020-03-11T21:57:00Z</dcterms:created>
  <dcterms:modified xsi:type="dcterms:W3CDTF">2020-03-11T21:57:00Z</dcterms:modified>
</cp:coreProperties>
</file>